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28"/>
        </w:rPr>
        <w:t>МАЛАЯ ЛИПЕЦКАЯ АКАДЕМИЯ</w:t>
      </w:r>
    </w:p>
    <w:p>
      <w:pPr>
        <w:ind w:firstLine="0"/>
        <w:jc w:val="center"/>
      </w:pPr>
      <w:r>
        <w:rPr>
          <w:rFonts w:ascii="Times New Roman" w:hAnsi="Times New Roman" w:eastAsia="Times New Roman"/>
          <w:i/>
          <w:color w:val="5F6B7A"/>
          <w:sz w:val="20"/>
        </w:rPr>
        <w:t>полное наименование лицензиата указывается при утверждении</w:t>
      </w:r>
    </w:p>
    <w:tbl>
      <w:tblPr>
        <w:tblW w:type="dxa" w:w="9355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4479"/>
        <w:gridCol w:w="4876"/>
      </w:tblGrid>
      <w:tr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2"/>
              </w:rPr>
            </w:r>
          </w:p>
        </w:tc>
        <w:tc>
          <w:tcPr>
            <w:tcW w:type="dxa" w:w="48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2"/>
              </w:rPr>
              <w:t>УТВЕРЖДЕНА</w:t>
              <w:br/>
              <w:t>приказом __________________________</w:t>
              <w:br/>
              <w:t>от «___» __________ 2026 г. № ____</w:t>
              <w:br/>
              <w:t>Руководитель ______________________</w:t>
              <w:br/>
              <w:t>_____________________ /Ф.И.О./</w:t>
            </w:r>
          </w:p>
        </w:tc>
      </w:tr>
    </w:tbl>
    <w:p/>
    <w:p>
      <w:pPr>
        <w:spacing w:after="10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28"/>
        </w:rPr>
        <w:t>ДОПОЛНИТЕЛЬНАЯ ОБЩЕОБРАЗОВАТЕЛЬНАЯ ПРОГРАММА -</w:t>
      </w:r>
    </w:p>
    <w:p>
      <w:pPr>
        <w:spacing w:after="10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28"/>
        </w:rPr>
        <w:t>ДОПОЛНИТЕЛЬНАЯ ОБЩЕРАЗВИВАЮЩАЯ ПРОГРАММА</w:t>
      </w:r>
    </w:p>
    <w:p>
      <w:pPr>
        <w:spacing w:after="10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28"/>
        </w:rPr>
        <w:t>ЕСТЕСТВЕННОНАУЧНОЙ НАПРАВЛЕННОСТИ</w:t>
      </w:r>
    </w:p>
    <w:p>
      <w:pPr>
        <w:spacing w:after="16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36"/>
        </w:rPr>
        <w:t>«ОЛИМПИАДНАЯ МАТЕМАТИКА»</w:t>
      </w:r>
    </w:p>
    <w:p>
      <w:pPr>
        <w:spacing w:after="160"/>
        <w:ind w:firstLine="0"/>
        <w:jc w:val="center"/>
      </w:pPr>
      <w:r>
        <w:rPr>
          <w:rFonts w:ascii="Times New Roman" w:hAnsi="Times New Roman" w:eastAsia="Times New Roman"/>
          <w:b/>
          <w:color w:val="0B1B3A"/>
          <w:sz w:val="36"/>
        </w:rPr>
        <w:t>7 КЛАСС</w:t>
      </w:r>
    </w:p>
    <w:tbl>
      <w:tblPr>
        <w:tblW w:type="dxa" w:w="9355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4479"/>
        <w:gridCol w:w="4876"/>
      </w:tblGrid>
      <w:tr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  <w:tc>
          <w:tcPr>
            <w:tcW w:type="dxa" w:w="48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Возраст обучающихся: 12–14 лет</w:t>
            </w:r>
          </w:p>
        </w:tc>
      </w:tr>
      <w:tr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  <w:tc>
          <w:tcPr>
            <w:tcW w:type="dxa" w:w="48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Срок реализации: 1 учебный год (34 учебные недели)</w:t>
            </w:r>
          </w:p>
        </w:tc>
      </w:tr>
      <w:tr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  <w:tc>
          <w:tcPr>
            <w:tcW w:type="dxa" w:w="48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Объём программы: 204 академических часов</w:t>
            </w:r>
          </w:p>
        </w:tc>
      </w:tr>
      <w:tr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</w:r>
          </w:p>
        </w:tc>
        <w:tc>
          <w:tcPr>
            <w:tcW w:type="dxa" w:w="48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4"/>
              </w:rPr>
              <w:t>Составитель: Подаев Михаил Валерьевич</w:t>
            </w:r>
          </w:p>
        </w:tc>
      </w:tr>
    </w:tbl>
    <w:p>
      <w:pPr>
        <w:spacing w:before="560"/>
      </w:pPr>
    </w:p>
    <w:p>
      <w:pPr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Липецк</w:t>
        <w:br/>
        <w:t>2026</w:t>
      </w:r>
    </w:p>
    <w:p>
      <w:r>
        <w:br w:type="page"/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Содержание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Паспорт программы и пояснительная записка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Цель и задачи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Планируемые результаты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Учебный план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Календарный учебный график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Рабочая программа курса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Календарно-тематический план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Формы контроля и оценочные материалы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Организационно-педагогические условия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Учебно-методическое обеспечение</w:t>
      </w:r>
    </w:p>
    <w:p>
      <w:pPr>
        <w:pStyle w:val="ListNumber"/>
        <w:ind w:left="0" w:firstLine="0"/>
      </w:pPr>
      <w:r>
        <w:rPr>
          <w:rFonts w:ascii="Times New Roman" w:hAnsi="Times New Roman" w:eastAsia="Times New Roman"/>
          <w:color w:val="000000"/>
          <w:sz w:val="28"/>
        </w:rPr>
        <w:t>Список литературы и электронных ресурсов</w:t>
      </w:r>
    </w:p>
    <w:p>
      <w:r>
        <w:br w:type="page"/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1. Паспорт программы и пояснительная записка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2948"/>
        <w:gridCol w:w="6406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Показатель</w:t>
            </w:r>
          </w:p>
        </w:tc>
        <w:tc>
          <w:tcPr>
            <w:tcW w:type="dxa" w:w="640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Полное название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Дополнительная общеобразовательная программа - дополнительная общеразвивающая программа естественнонаучной направленности «Олимпиадная математика», 7 класс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Направленность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Естественнонаучная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Уровень освоения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углублённый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Адресат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Обучающиеся 12–14 лет, преимущественно 7 класса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Срок реализации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учебный год, 34 учебные недели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Объём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204 академических часов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Режим занятий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занятия в неделю по 3 академических часа; понедельник и пятница, 15:45–18:00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Форма обучения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Очная; отдельные элементы могут проводиться с применением электронного обучения и дистанционных образовательных технологий при наличии условий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Язык обучения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Русский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Численность группы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Рекомендуемая - 6–12 обучающихся; предельная численность определяется условиями помещения и локальным актом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Формы аттестации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Входная диагностика, текущий контроль, промежуточный олимпиадный тур, итоговая олимпиада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Составитель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Подаев Михаил Валерьевич</w:t>
            </w:r>
          </w:p>
        </w:tc>
      </w:tr>
    </w:tbl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1.1. Нормативно-правовая основа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Программа разработана с учётом действующих на дату утверждения требований: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Федерального закона от 29.12.2012 № 273-ФЗ «Об образовании в Российской Федерации», в том числе статей 2, 12 и 75.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приказа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постановления Правительства Российской Федерации от 18.09.2020 № 1490 «О лицензировании образовательной деятельности» в действующей редакции.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санитарных правил СП 2.4.4283-26 «Санитарно-эпидемиологические требования к организациям воспитания и обучения, отдыха и оздоровления детей и молодежи», действующих с 01.09.2026.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санитарных правил и норм СанПиН 1.2.3685-21 в действующей редакции - в применимой части.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локальных нормативных актов организации, регламентирующих приём, режим занятий, текущий контроль, промежуточную аттестацию, охрану здоровья и обработку персональных данных.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1.2. Актуальность и отличительные особенности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Актуальность программы связана с разрывом между освоением стандартных алгоритмов школьного курса и требованиями олимпиадных задач. Для успешного решения обучающемуся требуется самостоятельно распознавать структуру задачи, выбирать идею, исследовать частные случаи, доказывать утверждения и ясно записывать ход рассуждений.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Отличительная особенность программы для 7 класса состоит в системном изучении общих методов через тематические серии, математическую дискуссию, устную защиту решений и регулярные мини-туры. Практическая часть преобладает: не менее 76% времени отводится самостоятельному и групповому решению задач.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1.3. Адресат, приём и организация обучения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Программа адресована обучающимся 12–14 лет, преимущественно учащимся 7 класса, которые интересуются математикой и готовы регулярно выполнять самостоятельные задания. Приём осуществляется на добровольной основе без конкурсного отбора. Входная диагностика не ограничивает право на обучение и используется для определения стартового уровня и индивидуальной траектории.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Продолжительность одного академического часа составляет 40 минут. Между академическими часами предусматриваются динамические паузы продолжительностью 5–10 минут. Точное расписание, продолжительность перерывов и применение электронных средств обучения определяются с соблюдением действующих санитарных правил и локальных актов.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Обучение лиц с инвалидностью и ограниченными возможностями здоровья организуется при наличии необходимых специальных условий, с учётом рекомендаций психолого-медико-педагогической комиссии и индивидуальной программы реабилитации или абилитации - в применимых случаях. При необходимости разрабатывается адаптированная дополнительная общеобразовательная программа.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2. Цель и задачи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Цель программы: системное освоение ключевых методов олимпиадной математики и формирование навыка самостоятельного построения доказательства в задачах межпредметного и смешанного типа.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Обучающие задачи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систематизировать методы теории чисел: делимость, остатки, НОД, простые числа и диофантовы уравнения.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освоить комбинаторный подсчёт, принцип Дирихле, графы, раскраски и рекуррентные модели.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расширить алгебраический инструментарий: тождества, факторизация, уравнения, оценки и неравенства.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освоить базовые методы олимпиадной планиметрии и доказательные геометрические конструкции.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Развивающие задачи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развивать логическое, алгоритмическое, пространственное и творческое мышление.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развивать способность выдвигать и проверять гипотезы, искать контрпримеры и анализировать частные случаи.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формировать умение переносить освоенный метод в новую ситуацию и выбирать рациональную стратегию решения.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развивать математическую речь, внимание, память и познавательную самостоятельность.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Воспитательные задачи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воспитывать настойчивость, аккуратность, ответственность за результат и критичность мышления.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формировать готовность к сотрудничеству, корректному обсуждению и аргументированной защите решения.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поддерживать устойчивый интерес к математике и интеллектуальной деятельности.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3. Планируемые результаты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По завершении программы обучающийся должен знать: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делимость, сравнения по модулю, алгоритм Евклида, простые числа и линейные диофантовы уравнения.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комбинаторные правила, принцип Дирихле, графовые модели, рекурсии и инварианты.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алгебраические тождества, факторизацию, методы оценок и базовые неравенства.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признаки равенства и подобия треугольников, свойства окружности, площади и геометрические преобразования.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Обучающийся должен уметь: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решать и оформлять задачи муниципального и открытого олимпиадного уровня для 7 класса.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выбирать между алгебраической, арифметической, комбинаторной и геометрической моделью.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строить цепочку лемм, проверять полноту случаев и критически оценивать решение.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распределять время на туре и представлять решение у доски.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Личностные и метапредметные результаты включают устойчивый интерес к интеллектуальной деятельности; способность планировать собственную работу, принимать аргументированную обратную связь и проводить самооценку; готовность сотрудничать, корректно обсуждать разные решения и соблюдать академическую добросовестность.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4. Учебный план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Учебный план определяет распределение часов между содержательными разделами и соотношение теоретической и практической подготовки. Теория вводится в объёме, необходимом для осмысленного применения метода; основная часть времени отводится решению и разбору задач.</w:t>
      </w:r>
    </w:p>
    <w:tbl>
      <w:tblPr>
        <w:tblW w:type="dxa" w:w="9353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567"/>
        <w:gridCol w:w="3798"/>
        <w:gridCol w:w="1134"/>
        <w:gridCol w:w="1020"/>
        <w:gridCol w:w="1020"/>
        <w:gridCol w:w="1814"/>
      </w:tblGrid>
      <w:tr>
        <w:trPr>
          <w:tblHeader w:val="true"/>
        </w:trP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№</w:t>
            </w:r>
          </w:p>
        </w:tc>
        <w:tc>
          <w:tcPr>
            <w:tcW w:type="dxa" w:w="379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Всего</w:t>
            </w:r>
          </w:p>
        </w:tc>
        <w:tc>
          <w:tcPr>
            <w:tcW w:type="dxa" w:w="10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Теория</w:t>
            </w:r>
          </w:p>
        </w:tc>
        <w:tc>
          <w:tcPr>
            <w:tcW w:type="dxa" w:w="10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Практика</w:t>
            </w:r>
          </w:p>
        </w:tc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Форма контроля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7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Введение и доказательство</w:t>
            </w:r>
          </w:p>
        </w:tc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814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Входная диагностика</w:t>
            </w:r>
          </w:p>
        </w:tc>
      </w:tr>
      <w:tr>
        <w:tc>
          <w:tcPr>
            <w:tcW w:type="dxa" w:w="567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79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Теория чисел</w:t>
            </w:r>
          </w:p>
        </w:tc>
        <w:tc>
          <w:tcPr>
            <w:tcW w:type="dxa" w:w="1134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1814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Домашние серии и квик-тест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7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Комбинаторика и графы</w:t>
            </w:r>
          </w:p>
        </w:tc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1814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Комбинаторный мини-тур</w:t>
            </w:r>
          </w:p>
        </w:tc>
      </w:tr>
      <w:tr>
        <w:tc>
          <w:tcPr>
            <w:tcW w:type="dxa" w:w="567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79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Алгебраические методы</w:t>
            </w:r>
          </w:p>
        </w:tc>
        <w:tc>
          <w:tcPr>
            <w:tcW w:type="dxa" w:w="1134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1814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Самостоятельная работа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7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Олимпиадная геометрия</w:t>
            </w:r>
          </w:p>
        </w:tc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42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1814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Геометрический мини-тур</w:t>
            </w:r>
          </w:p>
        </w:tc>
      </w:tr>
      <w:tr>
        <w:tc>
          <w:tcPr>
            <w:tcW w:type="dxa" w:w="567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79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Общие методы и смешанные задачи</w:t>
            </w:r>
          </w:p>
        </w:tc>
        <w:tc>
          <w:tcPr>
            <w:tcW w:type="dxa" w:w="1134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020"/>
            <w:vAlign w:val="center"/>
            <w:shd w:fill="F5F7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1814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Тренировочные туры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7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Промежуточная и итоговая аттестация</w:t>
            </w:r>
          </w:p>
        </w:tc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10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814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Два олимпиадных тура</w:t>
            </w:r>
          </w:p>
        </w:tc>
      </w:tr>
      <w:tr>
        <w:tc>
          <w:tcPr>
            <w:tcW w:type="dxa" w:w="567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</w:p>
        </w:tc>
        <w:tc>
          <w:tcPr>
            <w:tcW w:type="dxa" w:w="3798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Итого</w:t>
            </w:r>
          </w:p>
        </w:tc>
        <w:tc>
          <w:tcPr>
            <w:tcW w:type="dxa" w:w="1134"/>
            <w:vAlign w:val="center"/>
            <w:shd w:fill="EAF0F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204</w:t>
            </w:r>
          </w:p>
        </w:tc>
        <w:tc>
          <w:tcPr>
            <w:tcW w:type="dxa" w:w="1020"/>
            <w:vAlign w:val="center"/>
            <w:shd w:fill="EAF0F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vAlign w:val="center"/>
            <w:shd w:fill="EAF0F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155</w:t>
            </w:r>
          </w:p>
        </w:tc>
        <w:tc>
          <w:tcPr>
            <w:tcW w:type="dxa" w:w="1814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</w:r>
          </w:p>
        </w:tc>
      </w:tr>
    </w:tbl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5. Календарный учебный график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2948"/>
        <w:gridCol w:w="6406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Показатель</w:t>
            </w:r>
          </w:p>
        </w:tc>
        <w:tc>
          <w:tcPr>
            <w:tcW w:type="dxa" w:w="640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Учебный год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2026/2027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Срок реализации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34 учебные недели в период с сентября 2026 года по май 2027 года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Объём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204 академических часов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Недельная нагрузка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6 академических часов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Режим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занятия в неделю по 3 академических часа; понедельник и пятница, 15:45–18:00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Начало занятий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Определяется приказом после комплектования группы; плановая дата - сентябрь 2026 года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Окончание занятий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Май 2027 года; точная дата зависит от утверждённого расписания и переносов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Каникулярные и праздничные дни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Учебные занятия не проводятся, если иное не установлено приказом; пропущенные часы переносятся без сокращения программы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17-я учебная неделя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Итоговая аттестация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33-я учебная неделя; 34-я неделя - разбор и индивидуальные рекомендации</w:t>
            </w:r>
          </w:p>
        </w:tc>
      </w:tr>
    </w:tbl>
    <w:p>
      <w:r>
        <w:rPr>
          <w:rFonts w:ascii="Times New Roman" w:hAnsi="Times New Roman" w:eastAsia="Times New Roman"/>
          <w:i w:val="0"/>
          <w:color w:val="000000"/>
          <w:sz w:val="28"/>
        </w:rPr>
        <w:t>Конкретные календарные даты занятий утверждаются расписанием. При переносе занятия соответствующая тема проводится в ближайшую возможную дату; общий объём программы и состав обязательных разделов не сокращаются.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6. Рабочая программа курса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6.1. Введение и доказательство (12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Логика доказательства, метод от противного, контрпримеры, оформление и стратегия тура.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входная диагностика.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6.2. Теория чисел (36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Делимость, остатки, НОД, простые числа, показатели степеней, диофантовы уравнения.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домашние серии и квик-тест.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6.3. Комбинаторика и графы (30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Подсчёт, принцип Дирихле, графы, рекурсии, игры и раскраски.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комбинаторный мини-тур.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6.4. Алгебраические методы (36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Тождества, факторизация, уравнения, системы, последовательности, оценки и неравенства.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самостоятельная работа.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6.5. Олимпиадная геометрия (42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Треугольники, подобие, окружность, площади, геометрические преобразования и построения.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геометрический мини-тур.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6.6. Общие методы и смешанные задачи (30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Инвариант, монотонность, крайний элемент, оценка, смешанные задачи и стратегия.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тренировочные туры.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6.7. Промежуточная и итоговая аттестация (18 ч)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Промежуточный и итоговый туры, разборы, коррекция индивидуальной траектории.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Основные виды деятельности: краткое теоретическое введение, разбор опорных примеров, самостоятельное и групповое решение, устная защита решений, проверка письменных работ и работа над ошибками. Форма контроля: два олимпиадных тура.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7. Календарно-тематический план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План рассчитан на 34 учебные недели по 6 академических часа в неделю. Общий объём - 204 часов.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510"/>
        <w:gridCol w:w="850"/>
        <w:gridCol w:w="2098"/>
        <w:gridCol w:w="3572"/>
        <w:gridCol w:w="907"/>
        <w:gridCol w:w="1417"/>
      </w:tblGrid>
      <w:tr>
        <w:trPr>
          <w:tblHeader w:val="true"/>
        </w:trPr>
        <w:tc>
          <w:tcPr>
            <w:tcW w:type="dxa" w:w="51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№</w:t>
            </w:r>
          </w:p>
        </w:tc>
        <w:tc>
          <w:tcPr>
            <w:tcW w:type="dxa" w:w="85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Неделя</w:t>
            </w:r>
          </w:p>
        </w:tc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Раздел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Тема</w:t>
            </w:r>
          </w:p>
        </w:tc>
        <w:tc>
          <w:tcPr>
            <w:tcW w:type="dxa" w:w="90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Часы</w:t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Контроль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и доказательство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Диагностика; логика утверждений и структура доказательства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Входная диагностика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и доказательство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Метод от противного; контрпример и полнота разбора случаев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Делимость и линейные комбинации; признаки делимости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Алгоритм Евклида; НОД и взаимная простота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Остатки и сравнения; циклы последних цифр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Простые числа; основная теорема арифметики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Линейные диофантовы уравнения; оценки решений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Теория чисел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Степени простых в факториалах; делимость произведений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Комбинаторика и графы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Правила суммы и произведения; сочетания без формул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Комбинаторика и графы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Организованный подсчёт; двойной подсчёт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Комбинаторика и графы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Принцип Дирихле; усиленные модели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Комбинаторика и графы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Графы знакомств; степени вершин и пути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Комбинаторика и графы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Рекурсии и последовательности; комбинаторные игры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Раскраски; инварианты в клетчатых задачах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Комбинаторный мини-тур и разбор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Тождества сокращённого умножения; факторизация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Промежуточный смешанный тур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Промежуточный тур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Уравнения и системы; целые корни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Алгебраические методы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Последовательности; арифметическая и геометрическая прогрессии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Оценки; средние величины; принцип крайних значений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Неравенства из квадрата разности; замены переменных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Треугольники; признаки равенства и дополнительные построения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Подобие треугольников; пропорции и площади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Биссектрисы, медианы и высоты; геометрические места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Окружность: углы, хорды и касательные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Олимпиадная геометрия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Площади; отношения площадей и метод вспомогательной площади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Общие методы и смешанные задачи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Геометрические преобразования: симметрия и поворот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Общие методы и смешанные задачи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Геометрический мини-тур и разбор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Общие методы и смешанные задачи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Инвариант, монотонность и метод крайнего элемента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Представление решения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Общие методы и смешанные задачи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задачи теории чисел и комбинаторики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Проверка решений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Общие методы и смешанные задачи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алгебраические и геометрические задачи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Домашняя серия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Промежуточная и итоговая аттестация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Тренировочный олимпиадный тур и стратегия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Квик-тест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33</w:t>
            </w:r>
          </w:p>
        </w:tc>
        <w:tc>
          <w:tcPr>
            <w:tcW w:type="dxa" w:w="85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33</w:t>
            </w:r>
          </w:p>
        </w:tc>
        <w:tc>
          <w:tcPr>
            <w:tcW w:type="dxa" w:w="209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Промежуточная и итоговая аттестация</w:t>
            </w:r>
          </w:p>
        </w:tc>
        <w:tc>
          <w:tcPr>
            <w:tcW w:type="dxa" w:w="357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олимпиада</w:t>
            </w:r>
          </w:p>
        </w:tc>
        <w:tc>
          <w:tcPr>
            <w:tcW w:type="dxa" w:w="90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Итоговая олимпиада</w:t>
            </w:r>
          </w:p>
        </w:tc>
      </w:tr>
      <w:tr>
        <w:tc>
          <w:tcPr>
            <w:tcW w:type="dxa" w:w="51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34</w:t>
            </w:r>
          </w:p>
        </w:tc>
        <w:tc>
          <w:tcPr>
            <w:tcW w:type="dxa" w:w="850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34</w:t>
            </w:r>
          </w:p>
        </w:tc>
        <w:tc>
          <w:tcPr>
            <w:tcW w:type="dxa" w:w="2098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Промежуточная и итоговая аттестация</w:t>
            </w:r>
          </w:p>
        </w:tc>
        <w:tc>
          <w:tcPr>
            <w:tcW w:type="dxa" w:w="357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Разбор итоговой работы. Индивидуальные рекомендации</w:t>
            </w:r>
          </w:p>
        </w:tc>
        <w:tc>
          <w:tcPr>
            <w:tcW w:type="dxa" w:w="90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417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Разбор и самооценка</w:t>
            </w:r>
          </w:p>
        </w:tc>
      </w:tr>
      <w:tr>
        <w:tc>
          <w:tcPr>
            <w:tcW w:type="dxa" w:w="510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850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2098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3572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Итого</w:t>
            </w:r>
          </w:p>
        </w:tc>
        <w:tc>
          <w:tcPr>
            <w:tcW w:type="dxa" w:w="907"/>
            <w:vAlign w:val="center"/>
            <w:shd w:fill="EAF0F8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204</w:t>
            </w:r>
          </w:p>
        </w:tc>
        <w:tc>
          <w:tcPr>
            <w:tcW w:type="dxa" w:w="1417"/>
            <w:vAlign w:val="center"/>
            <w:shd w:fill="EAF0F8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</w:tbl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8. Формы контроля и оценочные материалы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8.1. Система контроля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2948"/>
        <w:gridCol w:w="6406"/>
      </w:tblGrid>
      <w:tr>
        <w:trPr>
          <w:tblHeader w:val="true"/>
        </w:trPr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Показатель</w:t>
            </w:r>
          </w:p>
        </w:tc>
        <w:tc>
          <w:tcPr>
            <w:tcW w:type="dxa" w:w="640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2"/>
              </w:rPr>
              <w:t>Значение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Входной контроль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Диагностическая работа на первой неделе; результат не включается в итоговый рейтинг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Текущий контроль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Решения задач на занятиях, домашние серии, устная защита, квик-тесты; проводится систематически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Смешанный олимпиадный тур на 17-й неделе и последующий разбор</w:t>
            </w:r>
          </w:p>
        </w:tc>
      </w:tr>
      <w:tr>
        <w:tc>
          <w:tcPr>
            <w:tcW w:type="dxa" w:w="2948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Итоговая аттестация</w:t>
            </w:r>
          </w:p>
        </w:tc>
        <w:tc>
          <w:tcPr>
            <w:tcW w:type="dxa" w:w="6406"/>
            <w:vAlign w:val="center"/>
            <w:shd w:fill="F5F7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Итоговая олимпиада на 33-й неделе; письменные решения и разбор на 34-й неделе</w:t>
            </w:r>
          </w:p>
        </w:tc>
      </w:tr>
      <w:tr>
        <w:tc>
          <w:tcPr>
            <w:tcW w:type="dxa" w:w="2948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Фиксация результатов</w:t>
            </w:r>
          </w:p>
        </w:tc>
        <w:tc>
          <w:tcPr>
            <w:tcW w:type="dxa" w:w="6406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 каждой задаче педагог фиксирует факт сдачи и балл; сохраняются проверенные работы или электронные записи результатов</w:t>
            </w:r>
          </w:p>
        </w:tc>
      </w:tr>
    </w:tbl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8.2. Критерии проверки олимпиадной задачи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1134"/>
        <w:gridCol w:w="8220"/>
      </w:tblGrid>
      <w:tr>
        <w:trPr>
          <w:tblHeader w:val="true"/>
        </w:trPr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Балл</w:t>
            </w:r>
          </w:p>
        </w:tc>
        <w:tc>
          <w:tcPr>
            <w:tcW w:type="dxa" w:w="82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Характеристика решения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7</w:t>
            </w:r>
          </w:p>
        </w:tc>
        <w:tc>
          <w:tcPr>
            <w:tcW w:type="dxa" w:w="8220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Полное верное решение; все существенные утверждения доказаны, необходимые случаи рассмотрены, запись логична.</w:t>
            </w:r>
          </w:p>
        </w:tc>
      </w:tr>
      <w:tr>
        <w:tc>
          <w:tcPr>
            <w:tcW w:type="dxa" w:w="1134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6</w:t>
            </w:r>
          </w:p>
        </w:tc>
        <w:tc>
          <w:tcPr>
            <w:tcW w:type="dxa" w:w="8220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Верное решение с незначительной неточностью или пропуском, не затрагивающим основную идею.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5</w:t>
            </w:r>
          </w:p>
        </w:tc>
        <w:tc>
          <w:tcPr>
            <w:tcW w:type="dxa" w:w="8220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Основная идея и большая часть решения верны, но имеется один содержательный пробел.</w:t>
            </w:r>
          </w:p>
        </w:tc>
      </w:tr>
      <w:tr>
        <w:tc>
          <w:tcPr>
            <w:tcW w:type="dxa" w:w="1134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4</w:t>
            </w:r>
          </w:p>
        </w:tc>
        <w:tc>
          <w:tcPr>
            <w:tcW w:type="dxa" w:w="8220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Получено существенное продвижение: доказана ключевая лемма или верно разобран основной случай.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3</w:t>
            </w:r>
          </w:p>
        </w:tc>
        <w:tc>
          <w:tcPr>
            <w:tcW w:type="dxa" w:w="8220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Найдена перспективная идея или построена верная модель, но реализация существенно неполна.</w:t>
            </w:r>
          </w:p>
        </w:tc>
      </w:tr>
      <w:tr>
        <w:tc>
          <w:tcPr>
            <w:tcW w:type="dxa" w:w="1134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2</w:t>
            </w:r>
          </w:p>
        </w:tc>
        <w:tc>
          <w:tcPr>
            <w:tcW w:type="dxa" w:w="8220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Есть отдельные полезные наблюдения или верные частные случаи.</w:t>
            </w:r>
          </w:p>
        </w:tc>
      </w:tr>
      <w:tr>
        <w:tc>
          <w:tcPr>
            <w:tcW w:type="dxa" w:w="1134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1</w:t>
            </w:r>
          </w:p>
        </w:tc>
        <w:tc>
          <w:tcPr>
            <w:tcW w:type="dxa" w:w="8220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Записано одно верное, но малосущественное наблюдение.</w:t>
            </w:r>
          </w:p>
        </w:tc>
      </w:tr>
      <w:tr>
        <w:tc>
          <w:tcPr>
            <w:tcW w:type="dxa" w:w="1134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0</w:t>
            </w:r>
          </w:p>
        </w:tc>
        <w:tc>
          <w:tcPr>
            <w:tcW w:type="dxa" w:w="8220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Решение отсутствует, не относится к задаче или содержит только неверные рассуждения.</w:t>
            </w:r>
          </w:p>
        </w:tc>
      </w:tr>
    </w:tbl>
    <w:p>
      <w:r>
        <w:rPr>
          <w:rFonts w:ascii="Times New Roman" w:hAnsi="Times New Roman" w:eastAsia="Times New Roman"/>
          <w:i w:val="0"/>
          <w:color w:val="000000"/>
          <w:sz w:val="28"/>
        </w:rPr>
        <w:t>Успешным освоением программы считается выполнение совокупности условий: участие в итоговой олимпиаде; выполнение не менее 60% обязательных текущих заданий; итоговый результат не ниже 60% от максимально возможного рейтинга. При уважительном отсутствии итоговая работа проводится в резервный срок.</w:t>
      </w:r>
    </w:p>
    <w:p>
      <w:pPr>
        <w:pStyle w:val="Heading3"/>
        <w:keepNext/>
      </w:pPr>
      <w:r>
        <w:rPr>
          <w:rFonts w:ascii="Times New Roman" w:hAnsi="Times New Roman" w:eastAsia="Times New Roman"/>
          <w:b/>
          <w:color w:val="0B1B3A"/>
          <w:sz w:val="26"/>
        </w:rPr>
        <w:t>8.3. Пример входной диагностики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567"/>
        <w:gridCol w:w="5102"/>
        <w:gridCol w:w="3685"/>
      </w:tblGrid>
      <w:tr>
        <w:trPr>
          <w:tblHeader w:val="true"/>
        </w:trP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№</w:t>
            </w:r>
          </w:p>
        </w:tc>
        <w:tc>
          <w:tcPr>
            <w:tcW w:type="dxa" w:w="51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Задание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Ответ или ключевая идея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Найдите остаток 2^20 при делении на 7.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2^3 ≡ 1; 20 ≡ 2 (mod 3), ответ 4.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Решите в целых числах 3x + 5y = 1.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Например, x=2, y=−1; общее решение x=2+5t, y=−1−3t.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Докажите, что в любом графе число вершин нечётной степени чётно.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Сумма степеней равна удвоенному числу рёбер.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равнобедренном треугольнике проведена медиана к основанию. Докажите, что она является высотой.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Равенство двух треугольников по трём сторонам.</w:t>
            </w:r>
          </w:p>
        </w:tc>
      </w:tr>
    </w:tbl>
    <w:p>
      <w:pPr>
        <w:pStyle w:val="Heading3"/>
        <w:keepNext/>
      </w:pPr>
      <w:r>
        <w:rPr>
          <w:rFonts w:ascii="Times New Roman" w:hAnsi="Times New Roman" w:eastAsia="Times New Roman"/>
          <w:b/>
          <w:color w:val="0B1B3A"/>
          <w:sz w:val="26"/>
        </w:rPr>
        <w:t>8.4. Пример промежуточного мини-тура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567"/>
        <w:gridCol w:w="5102"/>
        <w:gridCol w:w="3685"/>
      </w:tblGrid>
      <w:tr>
        <w:trPr>
          <w:tblHeader w:val="true"/>
        </w:trP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№</w:t>
            </w:r>
          </w:p>
        </w:tc>
        <w:tc>
          <w:tcPr>
            <w:tcW w:type="dxa" w:w="51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Задание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Ответ или ключевая идея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Докажите, что среди любых восьми целых чисел найдутся два с разностью, кратной 7.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Семь классов остатков по модулю 7.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Найдите все простые p, для которых p+10 и p+14 простые.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p=3; для p≠3 одно из трёх чисел p, p+10, p+14 делится на 3.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турнире каждый сыграл с каждым один раз. Проведено 45 партий. Сколько участников?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n(n−1)/2=45, n=10.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Докажите неравенство a²+b²≥2ab.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(a−b)²≥0.</w:t>
            </w:r>
          </w:p>
        </w:tc>
      </w:tr>
    </w:tbl>
    <w:p>
      <w:pPr>
        <w:pStyle w:val="Heading3"/>
        <w:keepNext/>
      </w:pPr>
      <w:r>
        <w:rPr>
          <w:rFonts w:ascii="Times New Roman" w:hAnsi="Times New Roman" w:eastAsia="Times New Roman"/>
          <w:b/>
          <w:color w:val="0B1B3A"/>
          <w:sz w:val="26"/>
        </w:rPr>
        <w:t>8.5. Пример итоговой олимпиады</w:t>
      </w:r>
    </w:p>
    <w:tbl>
      <w:tblPr>
        <w:tblW w:type="dxa" w:w="935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color="AAB7C8"/>
          <w:left w:val="single" w:sz="4" w:color="AAB7C8"/>
          <w:bottom w:val="single" w:sz="4" w:color="AAB7C8"/>
          <w:right w:val="single" w:sz="4" w:color="AAB7C8"/>
          <w:insideH w:val="single" w:sz="4" w:color="AAB7C8"/>
          <w:insideV w:val="single" w:sz="4" w:color="AAB7C8"/>
        </w:tblBorders>
      </w:tblPr>
      <w:tblGrid>
        <w:gridCol w:w="567"/>
        <w:gridCol w:w="5102"/>
        <w:gridCol w:w="3685"/>
      </w:tblGrid>
      <w:tr>
        <w:trPr>
          <w:tblHeader w:val="true"/>
        </w:trPr>
        <w:tc>
          <w:tcPr>
            <w:tcW w:type="dxa" w:w="56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№</w:t>
            </w:r>
          </w:p>
        </w:tc>
        <w:tc>
          <w:tcPr>
            <w:tcW w:type="dxa" w:w="510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Задание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0B1B3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Ответ или ключевая идея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Докажите, что n^5−n делится на 30 для любого целого n.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Отдельно показать делимость на 2, 3 и 5 по остаткам.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Из чисел 1,…,100 выбрали 51. Докажите, что есть два взаимно простых выбранных числа.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Разбить на пары (1,2), (3,4), …; соседние числа взаимно просты.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 плоскости отмечены 7 точек, никакие три не лежат на одной прямой. Сколько треугольников?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C(7,3)=35.</w:t>
            </w:r>
          </w:p>
        </w:tc>
      </w:tr>
      <w:tr>
        <w:tc>
          <w:tcPr>
            <w:tcW w:type="dxa" w:w="567"/>
            <w:vAlign w:val="center"/>
            <w:shd w:fill="F7F8FA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5102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Для положительных x,y докажите x/y+y/x≥2.</w:t>
            </w:r>
          </w:p>
        </w:tc>
        <w:tc>
          <w:tcPr>
            <w:tcW w:type="dxa" w:w="3685"/>
            <w:vAlign w:val="center"/>
            <w:shd w:fill="F7F8FA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Умножить на xy и применить (x−y)²≥0.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5102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треугольнике медианы пересекаются в одной точке и делятся ею в отношении 2:1. Докажите утверждение через площади.</w:t>
            </w:r>
          </w:p>
        </w:tc>
        <w:tc>
          <w:tcPr>
            <w:tcW w:type="dxa" w:w="3685"/>
            <w:vAlign w:val="center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Использовать равенство площадей треугольников с общей высотой и равными основаниями.</w:t>
            </w:r>
          </w:p>
        </w:tc>
      </w:tr>
    </w:tbl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9. Организационно-педагогические условия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9.1. Кадровое обеспечение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Программу реализует педагогический работник, отвечающий квалификационным требованиям и ограничениям, установленным законодательством Российской Федерации, владеющий содержанием школьной и олимпиадной математики и методикой организации учебной дискуссии, проверки письменных решений и дифференцированной работы.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9.2. Материально-техническое обеспечение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учебное помещение, соответствующее действующим санитарным и противопожарным требованиям, с рабочими местами по числу обучающихся.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доска или флипчарт; компьютер преподавателя; проектор или интерактивная панель при наличии.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наборы печатных материалов, бумага для черновиков, чертёжные принадлежности и средства демонстрации.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доступ к электронной среде для размещения материалов и отправки решений; при дистанционных элементах - платформа видеосвязи и виртуальная доска.</w:t>
      </w:r>
    </w:p>
    <w:p>
      <w:pPr>
        <w:pStyle w:val="Heading2"/>
        <w:keepNext/>
      </w:pPr>
      <w:r>
        <w:rPr>
          <w:rFonts w:ascii="Times New Roman" w:hAnsi="Times New Roman" w:eastAsia="Times New Roman"/>
          <w:b/>
          <w:color w:val="0B1B3A"/>
          <w:sz w:val="28"/>
        </w:rPr>
        <w:t>9.3. Охрана здоровья и безопасность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Организация занятий предусматривает соблюдение действующих санитарных правил, чередование видов деятельности, динамические паузы, безопасное применение электронных средств обучения, инструктаж по правилам поведения в помещении и эвакуации. Объём домашней работы дифференцируется с учётом школьной нагрузки и не является основанием для недопуска к аттестации.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10. Учебно-методическое обеспечение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Методическая модель строится вокруг цикла «задача - гипотеза - метод - доказательство - проверка - рефлексия». Педагог сочетает проблемное изложение, эвристическую беседу, самостоятельную работу, парное обсуждение, математическую дискуссию, мини-туры и индивидуальную обратную связь.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тематические подборки задач трёх уровней сложности и листки для самостоятельной работы.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образцы полных письменных решений и критерии оценивания по 7-балльной олимпиадной шкале.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входные, промежуточные и итоговые материалы с ключевыми идеями проверки.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карты индивидуального прогресса: сданные задачи, освоенные методы, типичные ошибки и рекомендации.</w:t>
      </w:r>
    </w:p>
    <w:p>
      <w:pPr>
        <w:pStyle w:val="ListBullet"/>
        <w:ind w:hanging="283"/>
      </w:pPr>
      <w:r>
        <w:rPr>
          <w:rFonts w:ascii="Times New Roman" w:hAnsi="Times New Roman" w:eastAsia="Times New Roman"/>
          <w:color w:val="000000"/>
          <w:sz w:val="28"/>
        </w:rPr>
        <w:t>методические разборы, справочные схемы, презентации и электронный архив материалов.</w:t>
      </w:r>
    </w:p>
    <w:p>
      <w:r>
        <w:rPr>
          <w:rFonts w:ascii="Times New Roman" w:hAnsi="Times New Roman" w:eastAsia="Times New Roman"/>
          <w:i w:val="0"/>
          <w:color w:val="000000"/>
          <w:sz w:val="28"/>
        </w:rPr>
        <w:t>Дифференциация обеспечивается вариативностью задач, дополнительными подсказками, работой в парах, индивидуальными маршрутами и возможностью представить альтернативное решение. Обучающимся с опережающей подготовкой предлагаются исследовательские и обобщающие задачи.</w:t>
      </w:r>
    </w:p>
    <w:p>
      <w:pPr>
        <w:pStyle w:val="1"/>
        <w:keepNext/>
      </w:pPr>
      <w:r>
        <w:rPr>
          <w:rFonts w:ascii="Times New Roman" w:hAnsi="Times New Roman" w:eastAsia="Times New Roman"/>
          <w:b/>
          <w:color w:val="0B1B3A"/>
          <w:sz w:val="32"/>
        </w:rPr>
        <w:t>11. Список литературы и электронных ресурсов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Генкин С. А., Итенберг И. В., Фомин Д. В. Ленинградские математические кружки.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Фомин Д. В., Кириченко С. И., Генкин С. А. Математические кружки.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Канель-Белов А. Я., Ковальджи А. К. Как решают нестандартные задачи.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Шарыгин И. Ф. Задачи по геометрии. Планиметрия.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Прасолов В. В. Задачи по планиметрии.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Горбачёв Н. В. Сборник олимпиадных задач по математике.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Problems.ru - база математических задач: https://problems.ru/.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Olimpiada.ru - архивы и материалы олимпиад: https://olimpiada.ru/.</w:t>
      </w:r>
    </w:p>
    <w:p>
      <w:pPr>
        <w:pStyle w:val="ListNumber"/>
      </w:pPr>
      <w:r>
        <w:rPr>
          <w:rFonts w:ascii="Times New Roman" w:hAnsi="Times New Roman" w:eastAsia="Times New Roman"/>
          <w:color w:val="000000"/>
          <w:sz w:val="26"/>
        </w:rPr>
        <w:t>Единое содержание общего образования: https://edsoo.ru/.</w:t>
      </w:r>
    </w:p>
    <w:sectPr w:rsidR="007C0629" w:rsidRPr="007C0629" w:rsidSect="00EF5694">
      <w:footerReference w:type="even" r:id="rId34"/>
      <w:footerReference w:type="default" r:id="rId35"/>
      <w:footerReference w:type="first" r:id="rId36"/>
      <w:headerReference w:type="default" r:id="rId39"/>
      <w:pgSz w:w="11906" w:h="16838"/>
      <w:pgMar w:top="1134" w:right="850" w:bottom="1134" w:left="1701" w:header="45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D58" w:rsidRDefault="00066D58">
      <w:pPr>
        <w:spacing w:after="0" w:line="240" w:lineRule="auto"/>
      </w:pPr>
      <w:r>
        <w:separator/>
      </w:r>
    </w:p>
  </w:endnote>
  <w:endnote w:type="continuationSeparator" w:id="0">
    <w:p w:rsidR="00066D58" w:rsidRDefault="00066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A02" w:rsidRDefault="001F3A02">
    <w:pPr>
      <w:spacing w:after="0" w:line="259" w:lineRule="auto"/>
      <w:ind w:left="0" w:right="13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714898"/>
      <w:docPartObj>
        <w:docPartGallery w:val="Page Numbers (Bottom of Page)"/>
        <w:docPartUnique/>
      </w:docPartObj>
    </w:sdtPr>
    <w:sdtEndPr/>
    <w:sdtContent>
      <w:p w:rsidR="001F3A02" w:rsidRPr="00F54348" w:rsidRDefault="001F3A02">
        <w:pPr>
          <w:pStyle w:val="a6"/>
          <w:jc w:val="right"/>
        </w:pPr>
        <w:r w:rsidRPr="00F54348">
          <w:fldChar w:fldCharType="begin"/>
        </w:r>
        <w:r w:rsidRPr="00F54348">
          <w:instrText>PAGE   \* MERGEFORMAT</w:instrText>
        </w:r>
        <w:r w:rsidRPr="00F54348">
          <w:fldChar w:fldCharType="separate"/>
        </w:r>
        <w:r w:rsidR="00CF1A91">
          <w:rPr>
            <w:noProof/>
          </w:rPr>
          <w:t>10</w:t>
        </w:r>
        <w:r w:rsidRPr="00F54348">
          <w:fldChar w:fldCharType="end"/>
        </w:r>
      </w:p>
    </w:sdtContent>
  </w:sdt>
  <w:p w:rsidR="001F3A02" w:rsidRDefault="001F3A02">
    <w:pPr>
      <w:spacing w:after="0" w:line="259" w:lineRule="auto"/>
      <w:ind w:left="0" w:right="137" w:firstLine="0"/>
      <w:jc w:val="right"/>
    </w:pPr>
    <w:r>
      <w:fldChar w:fldCharType="begin"/>
      <w:instrText xml:space="preserve"> PAGE </w:instrText>
      <w:fldChar w:fldCharType="separate"/>
    </w:r>
    <w:r>
      <w:rPr>
        <w:rFonts w:ascii="Times New Roman" w:hAnsi="Times New Roman" w:eastAsia="Times New Roman"/>
        <w:color w:val="000000"/>
        <w:sz w:val="20"/>
      </w:rPr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A02" w:rsidRDefault="001F3A02">
    <w:pPr>
      <w:spacing w:after="0" w:line="259" w:lineRule="auto"/>
      <w:ind w:left="0" w:right="13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D58" w:rsidRDefault="00066D58">
      <w:pPr>
        <w:spacing w:after="0" w:line="240" w:lineRule="auto"/>
      </w:pPr>
      <w:r>
        <w:separator/>
      </w:r>
    </w:p>
  </w:footnote>
  <w:footnote w:type="continuationSeparator" w:id="0">
    <w:p w:rsidR="00066D58" w:rsidRDefault="00066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rPr>
        <w:rFonts w:ascii="Times New Roman" w:hAnsi="Times New Roman" w:eastAsia="Times New Roman"/>
        <w:color w:val="5F6B7A"/>
        <w:sz w:val="18"/>
      </w:rPr>
      <w:t>Малая Липецкая Академия  |  Олимпиадная математика, 7 класс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6.5pt;height:3pt;visibility:visible;mso-wrap-style:square" o:bullet="t">
        <v:imagedata r:id="rId1" o:title=""/>
      </v:shape>
    </w:pict>
  </w:numPicBullet>
  <w:numPicBullet w:numPicBulletId="1">
    <w:pict>
      <v:shape id="_x0000_i1039" type="#_x0000_t75" style="width:2.25pt;height:3pt;visibility:visible;mso-wrap-style:square" o:bullet="t">
        <v:imagedata r:id="rId2" o:title=""/>
      </v:shape>
    </w:pict>
  </w:numPicBullet>
  <w:numPicBullet w:numPicBulletId="2">
    <w:pict>
      <v:shape id="_x0000_i1040" type="#_x0000_t75" style="width:.75pt;height:.75pt;visibility:visible;mso-wrap-style:square" o:bullet="t">
        <v:imagedata r:id="rId3" o:title=""/>
      </v:shape>
    </w:pict>
  </w:numPicBullet>
  <w:abstractNum w:abstractNumId="0" w15:restartNumberingAfterBreak="0">
    <w:nsid w:val="08420C87"/>
    <w:multiLevelType w:val="hybridMultilevel"/>
    <w:tmpl w:val="960A9854"/>
    <w:lvl w:ilvl="0" w:tplc="66565734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8609C8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BC491A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D42DA0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B0FE26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CA9A2A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38F4A0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D24FE6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8A3B7E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5E1C55"/>
    <w:multiLevelType w:val="hybridMultilevel"/>
    <w:tmpl w:val="1D78EB5C"/>
    <w:lvl w:ilvl="0" w:tplc="7BEC8E4A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08E13EE8"/>
    <w:multiLevelType w:val="hybridMultilevel"/>
    <w:tmpl w:val="3656F9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B2D27"/>
    <w:multiLevelType w:val="hybridMultilevel"/>
    <w:tmpl w:val="D3424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D131C"/>
    <w:multiLevelType w:val="multilevel"/>
    <w:tmpl w:val="7E5E7510"/>
    <w:lvl w:ilvl="0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9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9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5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1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1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77" w:hanging="2160"/>
      </w:pPr>
      <w:rPr>
        <w:rFonts w:hint="default"/>
        <w:b/>
      </w:rPr>
    </w:lvl>
  </w:abstractNum>
  <w:abstractNum w:abstractNumId="5" w15:restartNumberingAfterBreak="0">
    <w:nsid w:val="2607044F"/>
    <w:multiLevelType w:val="hybridMultilevel"/>
    <w:tmpl w:val="CEC02F16"/>
    <w:lvl w:ilvl="0" w:tplc="C524B2B8">
      <w:start w:val="1"/>
      <w:numFmt w:val="decimal"/>
      <w:lvlText w:val="%1.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CECC32C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D8336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F2A46C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8C87C3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C76F9D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256ADB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0683F02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D32D4B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8F7E8F"/>
    <w:multiLevelType w:val="hybridMultilevel"/>
    <w:tmpl w:val="236402F2"/>
    <w:lvl w:ilvl="0" w:tplc="5254AF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138F260">
      <w:start w:val="1"/>
      <w:numFmt w:val="lowerLetter"/>
      <w:lvlText w:val="%2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5F0AB60">
      <w:start w:val="4"/>
      <w:numFmt w:val="decimal"/>
      <w:lvlRestart w:val="0"/>
      <w:lvlText w:val="%3.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36BEDE">
      <w:start w:val="1"/>
      <w:numFmt w:val="decimal"/>
      <w:lvlText w:val="%4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66AD984">
      <w:start w:val="1"/>
      <w:numFmt w:val="lowerLetter"/>
      <w:lvlText w:val="%5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35A1374">
      <w:start w:val="1"/>
      <w:numFmt w:val="lowerRoman"/>
      <w:lvlText w:val="%6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D90B6E8">
      <w:start w:val="1"/>
      <w:numFmt w:val="decimal"/>
      <w:lvlText w:val="%7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7EAE6A6">
      <w:start w:val="1"/>
      <w:numFmt w:val="lowerLetter"/>
      <w:lvlText w:val="%8"/>
      <w:lvlJc w:val="left"/>
      <w:pPr>
        <w:ind w:left="7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CCFB5C">
      <w:start w:val="1"/>
      <w:numFmt w:val="lowerRoman"/>
      <w:lvlText w:val="%9"/>
      <w:lvlJc w:val="left"/>
      <w:pPr>
        <w:ind w:left="7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7D30D6"/>
    <w:multiLevelType w:val="hybridMultilevel"/>
    <w:tmpl w:val="85580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A7635"/>
    <w:multiLevelType w:val="hybridMultilevel"/>
    <w:tmpl w:val="B340337A"/>
    <w:lvl w:ilvl="0" w:tplc="61962B52">
      <w:start w:val="1"/>
      <w:numFmt w:val="decimal"/>
      <w:lvlText w:val="%1."/>
      <w:lvlJc w:val="left"/>
      <w:pPr>
        <w:ind w:left="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0361FD2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B202C0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2009EDE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514C86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082BB26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19AB93A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D18BDDE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F52A1B2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96757E"/>
    <w:multiLevelType w:val="hybridMultilevel"/>
    <w:tmpl w:val="4A2ABE88"/>
    <w:lvl w:ilvl="0" w:tplc="E5323C52">
      <w:start w:val="1"/>
      <w:numFmt w:val="decimal"/>
      <w:lvlText w:val="%1.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2A906E">
      <w:start w:val="1"/>
      <w:numFmt w:val="lowerLetter"/>
      <w:lvlText w:val="%2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C1E40">
      <w:start w:val="1"/>
      <w:numFmt w:val="lowerRoman"/>
      <w:lvlText w:val="%3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4DBD6">
      <w:start w:val="1"/>
      <w:numFmt w:val="decimal"/>
      <w:lvlText w:val="%4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5CB66C">
      <w:start w:val="1"/>
      <w:numFmt w:val="lowerLetter"/>
      <w:lvlText w:val="%5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5E71B6">
      <w:start w:val="1"/>
      <w:numFmt w:val="lowerRoman"/>
      <w:lvlText w:val="%6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5A5BB2">
      <w:start w:val="1"/>
      <w:numFmt w:val="decimal"/>
      <w:lvlText w:val="%7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ECA22">
      <w:start w:val="1"/>
      <w:numFmt w:val="lowerLetter"/>
      <w:lvlText w:val="%8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00DA78">
      <w:start w:val="1"/>
      <w:numFmt w:val="lowerRoman"/>
      <w:lvlText w:val="%9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ECF3BB9"/>
    <w:multiLevelType w:val="hybridMultilevel"/>
    <w:tmpl w:val="C766157E"/>
    <w:lvl w:ilvl="0" w:tplc="0419000F">
      <w:start w:val="1"/>
      <w:numFmt w:val="decimal"/>
      <w:lvlText w:val="%1."/>
      <w:lvlJc w:val="left"/>
      <w:pPr>
        <w:ind w:left="767" w:hanging="360"/>
      </w:p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1" w15:restartNumberingAfterBreak="0">
    <w:nsid w:val="3EDB24AE"/>
    <w:multiLevelType w:val="hybridMultilevel"/>
    <w:tmpl w:val="C5EA5B34"/>
    <w:lvl w:ilvl="0" w:tplc="3CB8BD9E">
      <w:start w:val="1"/>
      <w:numFmt w:val="bullet"/>
      <w:lvlText w:val="-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924EBDC">
      <w:start w:val="1"/>
      <w:numFmt w:val="bullet"/>
      <w:lvlText w:val="o"/>
      <w:lvlJc w:val="left"/>
      <w:pPr>
        <w:ind w:left="2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8B41FB2">
      <w:start w:val="1"/>
      <w:numFmt w:val="bullet"/>
      <w:lvlText w:val="▪"/>
      <w:lvlJc w:val="left"/>
      <w:pPr>
        <w:ind w:left="2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74AA35E0">
      <w:start w:val="1"/>
      <w:numFmt w:val="bullet"/>
      <w:lvlText w:val="•"/>
      <w:lvlJc w:val="left"/>
      <w:pPr>
        <w:ind w:left="3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B7A42E0">
      <w:start w:val="1"/>
      <w:numFmt w:val="bullet"/>
      <w:lvlText w:val="o"/>
      <w:lvlJc w:val="left"/>
      <w:pPr>
        <w:ind w:left="4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94E4468">
      <w:start w:val="1"/>
      <w:numFmt w:val="bullet"/>
      <w:lvlText w:val="▪"/>
      <w:lvlJc w:val="left"/>
      <w:pPr>
        <w:ind w:left="5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FD86154">
      <w:start w:val="1"/>
      <w:numFmt w:val="bullet"/>
      <w:lvlText w:val="•"/>
      <w:lvlJc w:val="left"/>
      <w:pPr>
        <w:ind w:left="5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410AFD4">
      <w:start w:val="1"/>
      <w:numFmt w:val="bullet"/>
      <w:lvlText w:val="o"/>
      <w:lvlJc w:val="left"/>
      <w:pPr>
        <w:ind w:left="6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0C4533A">
      <w:start w:val="1"/>
      <w:numFmt w:val="bullet"/>
      <w:lvlText w:val="▪"/>
      <w:lvlJc w:val="left"/>
      <w:pPr>
        <w:ind w:left="7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0D0BC7"/>
    <w:multiLevelType w:val="hybridMultilevel"/>
    <w:tmpl w:val="E7B0F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750F9"/>
    <w:multiLevelType w:val="hybridMultilevel"/>
    <w:tmpl w:val="3DA44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33FFF"/>
    <w:multiLevelType w:val="hybridMultilevel"/>
    <w:tmpl w:val="C212A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97C1A"/>
    <w:multiLevelType w:val="hybridMultilevel"/>
    <w:tmpl w:val="867E0968"/>
    <w:lvl w:ilvl="0" w:tplc="1DD835F2">
      <w:start w:val="1"/>
      <w:numFmt w:val="decimal"/>
      <w:lvlText w:val="%1.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9039EA">
      <w:start w:val="1"/>
      <w:numFmt w:val="lowerLetter"/>
      <w:lvlText w:val="%2"/>
      <w:lvlJc w:val="left"/>
      <w:pPr>
        <w:ind w:left="1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464892">
      <w:start w:val="1"/>
      <w:numFmt w:val="lowerRoman"/>
      <w:lvlText w:val="%3"/>
      <w:lvlJc w:val="left"/>
      <w:pPr>
        <w:ind w:left="2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8A18CC">
      <w:start w:val="1"/>
      <w:numFmt w:val="decimal"/>
      <w:lvlText w:val="%4"/>
      <w:lvlJc w:val="left"/>
      <w:pPr>
        <w:ind w:left="2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8A96CE">
      <w:start w:val="1"/>
      <w:numFmt w:val="lowerLetter"/>
      <w:lvlText w:val="%5"/>
      <w:lvlJc w:val="left"/>
      <w:pPr>
        <w:ind w:left="3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560D60">
      <w:start w:val="1"/>
      <w:numFmt w:val="lowerRoman"/>
      <w:lvlText w:val="%6"/>
      <w:lvlJc w:val="left"/>
      <w:pPr>
        <w:ind w:left="4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8215E8">
      <w:start w:val="1"/>
      <w:numFmt w:val="decimal"/>
      <w:lvlText w:val="%7"/>
      <w:lvlJc w:val="left"/>
      <w:pPr>
        <w:ind w:left="5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322BCC">
      <w:start w:val="1"/>
      <w:numFmt w:val="lowerLetter"/>
      <w:lvlText w:val="%8"/>
      <w:lvlJc w:val="left"/>
      <w:pPr>
        <w:ind w:left="5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9E7DFE">
      <w:start w:val="1"/>
      <w:numFmt w:val="lowerRoman"/>
      <w:lvlText w:val="%9"/>
      <w:lvlJc w:val="left"/>
      <w:pPr>
        <w:ind w:left="6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3E2012"/>
    <w:multiLevelType w:val="hybridMultilevel"/>
    <w:tmpl w:val="0CD6AE34"/>
    <w:lvl w:ilvl="0" w:tplc="B016BC6C">
      <w:start w:val="4"/>
      <w:numFmt w:val="decimal"/>
      <w:lvlText w:val="%1.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D89166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307F80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50D01C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FA590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BE750A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BC084E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14577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72260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8B4B77"/>
    <w:multiLevelType w:val="hybridMultilevel"/>
    <w:tmpl w:val="B2BC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C5EA7"/>
    <w:multiLevelType w:val="hybridMultilevel"/>
    <w:tmpl w:val="E68C3D28"/>
    <w:lvl w:ilvl="0" w:tplc="AE4639D4">
      <w:start w:val="1"/>
      <w:numFmt w:val="bullet"/>
      <w:lvlText w:val="-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F000EDF2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D3E56F4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3ECA21C0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B582246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4B488736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0728738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ED4C2EE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D5E1DFC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7AA6DF0"/>
    <w:multiLevelType w:val="hybridMultilevel"/>
    <w:tmpl w:val="D5885C2C"/>
    <w:lvl w:ilvl="0" w:tplc="6AC463B2">
      <w:start w:val="7"/>
      <w:numFmt w:val="decimal"/>
      <w:lvlText w:val="%1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0D068B0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EDA3D98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D9660FA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ACA8246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0CAE002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7EA6BF8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0E66756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338DEC2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AC05418"/>
    <w:multiLevelType w:val="hybridMultilevel"/>
    <w:tmpl w:val="A9CEC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63A08"/>
    <w:multiLevelType w:val="hybridMultilevel"/>
    <w:tmpl w:val="FB4AEE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1E4FCF"/>
    <w:multiLevelType w:val="hybridMultilevel"/>
    <w:tmpl w:val="0DFCFD24"/>
    <w:lvl w:ilvl="0" w:tplc="D30C074E">
      <w:start w:val="4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AA0006C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5CC89F0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A98D1F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91219B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B8063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69CD22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D1A45A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78976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A84957"/>
    <w:multiLevelType w:val="hybridMultilevel"/>
    <w:tmpl w:val="AA785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1481A"/>
    <w:multiLevelType w:val="hybridMultilevel"/>
    <w:tmpl w:val="9B86E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F47C5"/>
    <w:multiLevelType w:val="hybridMultilevel"/>
    <w:tmpl w:val="21A076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565A71"/>
    <w:multiLevelType w:val="hybridMultilevel"/>
    <w:tmpl w:val="D76E302A"/>
    <w:lvl w:ilvl="0" w:tplc="02BE96E8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1686EFE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3C6B92E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03296E8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63CE202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CC68316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DFE34FE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4607BC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95ACEB0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BA31DF"/>
    <w:multiLevelType w:val="hybridMultilevel"/>
    <w:tmpl w:val="D6BA2DC2"/>
    <w:lvl w:ilvl="0" w:tplc="0419000F">
      <w:start w:val="1"/>
      <w:numFmt w:val="decimal"/>
      <w:lvlText w:val="%1."/>
      <w:lvlJc w:val="left"/>
      <w:pPr>
        <w:ind w:left="767" w:hanging="360"/>
      </w:pPr>
    </w:lvl>
    <w:lvl w:ilvl="1" w:tplc="04190019" w:tentative="1">
      <w:start w:val="1"/>
      <w:numFmt w:val="lowerLetter"/>
      <w:lvlText w:val="%2."/>
      <w:lvlJc w:val="left"/>
      <w:pPr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8"/>
  </w:num>
  <w:num w:numId="2">
    <w:abstractNumId w:val="19"/>
  </w:num>
  <w:num w:numId="3">
    <w:abstractNumId w:val="5"/>
  </w:num>
  <w:num w:numId="4">
    <w:abstractNumId w:val="9"/>
  </w:num>
  <w:num w:numId="5">
    <w:abstractNumId w:val="16"/>
  </w:num>
  <w:num w:numId="6">
    <w:abstractNumId w:val="11"/>
  </w:num>
  <w:num w:numId="7">
    <w:abstractNumId w:val="6"/>
  </w:num>
  <w:num w:numId="8">
    <w:abstractNumId w:val="15"/>
  </w:num>
  <w:num w:numId="9">
    <w:abstractNumId w:val="0"/>
  </w:num>
  <w:num w:numId="10">
    <w:abstractNumId w:val="22"/>
  </w:num>
  <w:num w:numId="11">
    <w:abstractNumId w:val="26"/>
  </w:num>
  <w:num w:numId="12">
    <w:abstractNumId w:val="18"/>
  </w:num>
  <w:num w:numId="13">
    <w:abstractNumId w:val="4"/>
  </w:num>
  <w:num w:numId="14">
    <w:abstractNumId w:val="1"/>
  </w:num>
  <w:num w:numId="15">
    <w:abstractNumId w:val="20"/>
  </w:num>
  <w:num w:numId="16">
    <w:abstractNumId w:val="7"/>
  </w:num>
  <w:num w:numId="17">
    <w:abstractNumId w:val="21"/>
  </w:num>
  <w:num w:numId="18">
    <w:abstractNumId w:val="13"/>
  </w:num>
  <w:num w:numId="19">
    <w:abstractNumId w:val="24"/>
  </w:num>
  <w:num w:numId="20">
    <w:abstractNumId w:val="25"/>
  </w:num>
  <w:num w:numId="21">
    <w:abstractNumId w:val="2"/>
  </w:num>
  <w:num w:numId="22">
    <w:abstractNumId w:val="10"/>
  </w:num>
  <w:num w:numId="23">
    <w:abstractNumId w:val="27"/>
  </w:num>
  <w:num w:numId="24">
    <w:abstractNumId w:val="17"/>
  </w:num>
  <w:num w:numId="25">
    <w:abstractNumId w:val="14"/>
  </w:num>
  <w:num w:numId="26">
    <w:abstractNumId w:val="23"/>
  </w:num>
  <w:num w:numId="27">
    <w:abstractNumId w:val="3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526"/>
    <w:rsid w:val="000151C7"/>
    <w:rsid w:val="00025590"/>
    <w:rsid w:val="00066D58"/>
    <w:rsid w:val="00075672"/>
    <w:rsid w:val="00096F26"/>
    <w:rsid w:val="000D6CD5"/>
    <w:rsid w:val="00127056"/>
    <w:rsid w:val="001449D2"/>
    <w:rsid w:val="00167474"/>
    <w:rsid w:val="001A64AD"/>
    <w:rsid w:val="001E2190"/>
    <w:rsid w:val="001F1F79"/>
    <w:rsid w:val="001F3A02"/>
    <w:rsid w:val="00265B3E"/>
    <w:rsid w:val="00270D54"/>
    <w:rsid w:val="00285A3B"/>
    <w:rsid w:val="00293070"/>
    <w:rsid w:val="002A3F31"/>
    <w:rsid w:val="002D1797"/>
    <w:rsid w:val="00331C78"/>
    <w:rsid w:val="00361021"/>
    <w:rsid w:val="00390A56"/>
    <w:rsid w:val="003923F5"/>
    <w:rsid w:val="003A3A7A"/>
    <w:rsid w:val="003B7A07"/>
    <w:rsid w:val="003C7EFE"/>
    <w:rsid w:val="00456DC2"/>
    <w:rsid w:val="004E3F42"/>
    <w:rsid w:val="004F11E5"/>
    <w:rsid w:val="00516E54"/>
    <w:rsid w:val="00526788"/>
    <w:rsid w:val="005B7E7B"/>
    <w:rsid w:val="005C068A"/>
    <w:rsid w:val="005C584D"/>
    <w:rsid w:val="005E4C27"/>
    <w:rsid w:val="00606913"/>
    <w:rsid w:val="00657048"/>
    <w:rsid w:val="006C6F8C"/>
    <w:rsid w:val="006E762A"/>
    <w:rsid w:val="00775AFA"/>
    <w:rsid w:val="00794BE7"/>
    <w:rsid w:val="007B7926"/>
    <w:rsid w:val="007C0629"/>
    <w:rsid w:val="007C0F30"/>
    <w:rsid w:val="0080232E"/>
    <w:rsid w:val="008254A4"/>
    <w:rsid w:val="008825D9"/>
    <w:rsid w:val="008A2E1B"/>
    <w:rsid w:val="008B5889"/>
    <w:rsid w:val="008D53F6"/>
    <w:rsid w:val="00921C33"/>
    <w:rsid w:val="00942DD5"/>
    <w:rsid w:val="00990F56"/>
    <w:rsid w:val="009C74B1"/>
    <w:rsid w:val="009D1D8E"/>
    <w:rsid w:val="00A34292"/>
    <w:rsid w:val="00A577FE"/>
    <w:rsid w:val="00A665A4"/>
    <w:rsid w:val="00A94526"/>
    <w:rsid w:val="00A97CE5"/>
    <w:rsid w:val="00AC510F"/>
    <w:rsid w:val="00AC596F"/>
    <w:rsid w:val="00AE0ADD"/>
    <w:rsid w:val="00B21ADF"/>
    <w:rsid w:val="00B9453B"/>
    <w:rsid w:val="00BA5F2E"/>
    <w:rsid w:val="00BE1E76"/>
    <w:rsid w:val="00C82754"/>
    <w:rsid w:val="00C8708E"/>
    <w:rsid w:val="00CB09C8"/>
    <w:rsid w:val="00CC61BD"/>
    <w:rsid w:val="00CF1A91"/>
    <w:rsid w:val="00D24F5B"/>
    <w:rsid w:val="00D360B5"/>
    <w:rsid w:val="00D46521"/>
    <w:rsid w:val="00D6594A"/>
    <w:rsid w:val="00D67E7F"/>
    <w:rsid w:val="00D82811"/>
    <w:rsid w:val="00DA478D"/>
    <w:rsid w:val="00DF4003"/>
    <w:rsid w:val="00E04183"/>
    <w:rsid w:val="00E70491"/>
    <w:rsid w:val="00E77DEE"/>
    <w:rsid w:val="00EB0D56"/>
    <w:rsid w:val="00EC79BB"/>
    <w:rsid w:val="00ED23C1"/>
    <w:rsid w:val="00EF5694"/>
    <w:rsid w:val="00F004EC"/>
    <w:rsid w:val="00F322CA"/>
    <w:rsid w:val="00F44EF9"/>
    <w:rsid w:val="00F54348"/>
    <w:rsid w:val="00F55896"/>
    <w:rsid w:val="00FA09D8"/>
    <w:rsid w:val="00FC7E79"/>
    <w:rsid w:val="00FF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69CD8"/>
  <w15:docId w15:val="{5CEDC1EC-5A37-423E-8679-ADAFDEF9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0" w:line="276" w:lineRule="auto"/>
      <w:ind w:left="3" w:right="65"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0" w:line="254" w:lineRule="auto" w:before="200"/>
      <w:ind w:left="3" w:right="65" w:firstLine="0"/>
      <w:jc w:val="both"/>
      <w:outlineLvl w:val="0"/>
    </w:pPr>
    <w:rPr>
      <w:rFonts w:ascii="Times New Roman" w:eastAsia="Times New Roman" w:hAnsi="Times New Roman" w:cs="Times New Roman"/>
      <w:b/>
      <w:color w:val="0B1B3A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827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4348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F5434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F5434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32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22CA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ing2">
    <w:name w:val="heading 2"/>
    <w:pPr>
      <w:keepNext/>
      <w:spacing w:before="160" w:after="80"/>
      <w:ind w:firstLine="0"/>
    </w:pPr>
    <w:rPr>
      <w:rFonts w:ascii="Times New Roman" w:hAnsi="Times New Roman"/>
      <w:b/>
      <w:color w:val="0B1B3A"/>
      <w:sz w:val="28"/>
    </w:rPr>
  </w:style>
  <w:style w:type="paragraph" w:customStyle="1" w:styleId="Heading3">
    <w:name w:val="heading 3"/>
    <w:pPr>
      <w:keepNext/>
      <w:spacing w:before="120" w:after="60"/>
      <w:ind w:firstLine="0"/>
    </w:pPr>
    <w:rPr>
      <w:rFonts w:ascii="Times New Roman" w:hAnsi="Times New Roman"/>
      <w:b/>
      <w:color w:val="0B1B3A"/>
      <w:sz w:val="26"/>
    </w:rPr>
  </w:style>
  <w:style w:type="paragraph" w:customStyle="1" w:styleId="ListBullet">
    <w:name w:val="List Bullet"/>
    <w:pPr>
      <w:spacing w:after="40" w:line="264" w:lineRule="auto"/>
      <w:ind w:left="425" w:hanging="283"/>
    </w:pPr>
    <w:rPr>
      <w:rFonts w:ascii="Times New Roman" w:hAnsi="Times New Roman"/>
      <w:sz w:val="28"/>
    </w:rPr>
  </w:style>
  <w:style w:type="paragraph" w:customStyle="1" w:styleId="ListNumber">
    <w:name w:val="List Number"/>
    <w:pPr>
      <w:spacing w:after="40" w:line="264" w:lineRule="auto"/>
      <w:ind w:left="425" w:hanging="283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" Type="http://schemas.openxmlformats.org/officeDocument/2006/relationships/styles" Target="styles.xml"/><Relationship Id="rId21" Type="http://schemas.openxmlformats.org/officeDocument/2006/relationships/image" Target="media/image17.jp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3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footer" Target="footer3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settings" Target="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footer" Target="footer2.xml"/><Relationship Id="rId39" Type="http://schemas.openxmlformats.org/officeDocument/2006/relationships/header" Target="header1.xml"/></Relationships>
</file>

<file path=word/_rels/numbering.xml.rels><?xml version='1.0' encoding='UTF-8' standalone='yes'?>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42059-75DC-4625-B760-1965F4F2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10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общеразвивающая программа «Олимпиадная математика», 7 класс</dc:title>
  <dc:subject>204 академических часов, 2026/2027 учебный год</dc:subject>
  <dc:creator>Подаев Михаил Валерьевич</dc:creator>
  <cp:keywords>олимпиадная математика, 7 класс, дополнительное образование</cp:keywords>
  <cp:lastModifiedBy>Bessonova_VV</cp:lastModifiedBy>
  <cp:revision>58</cp:revision>
  <cp:lastPrinted>2023-07-28T07:40:00Z</cp:lastPrinted>
  <dcterms:created xsi:type="dcterms:W3CDTF">2023-07-25T09:17:00Z</dcterms:created>
  <dcterms:modified xsi:type="dcterms:W3CDTF">2026-07-14T06:50:00Z</dcterms:modified>
</cp:coreProperties>
</file>